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Wymagania na poszczególne oceny szkolne</w:t>
      </w:r>
    </w:p>
    <w:p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</w:t>
      </w:r>
      <w:r w:rsidR="00A87A61">
        <w:rPr>
          <w:rFonts w:cs="Dutch801HdEU-Normal"/>
          <w:color w:val="000000"/>
          <w:sz w:val="24"/>
          <w:szCs w:val="20"/>
        </w:rPr>
        <w:t xml:space="preserve"> </w:t>
      </w:r>
      <w:r w:rsidRPr="006316A6">
        <w:rPr>
          <w:rFonts w:cs="Dutch801HdEU-Normal"/>
          <w:color w:val="000000"/>
          <w:sz w:val="24"/>
          <w:szCs w:val="20"/>
        </w:rPr>
        <w:t>umiejętności te przypisane poszczególnym działom zostały odniesione do poszczególnych ocen szkolnych zgodnie z założeniami: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58"/>
        <w:gridCol w:w="2370"/>
        <w:gridCol w:w="2409"/>
        <w:gridCol w:w="2370"/>
        <w:gridCol w:w="2409"/>
        <w:gridCol w:w="2243"/>
      </w:tblGrid>
      <w:tr w:rsidR="00657A05" w:rsidRPr="009B498E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:rsidTr="004A3BF9">
        <w:tc>
          <w:tcPr>
            <w:tcW w:w="2358" w:type="dxa"/>
          </w:tcPr>
          <w:p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  <w:r w:rsidR="0056679C">
              <w:rPr>
                <w:rFonts w:asciiTheme="minorHAnsi" w:hAnsiTheme="minorHAnsi"/>
                <w:color w:val="auto"/>
              </w:rPr>
              <w:t>całkowitej</w:t>
            </w:r>
          </w:p>
          <w:p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drugiej pierwiastek drugiego stopnia </w:t>
            </w:r>
          </w:p>
        </w:tc>
        <w:tc>
          <w:tcPr>
            <w:tcW w:w="2409" w:type="dxa"/>
          </w:tcPr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liczbą wymierną </w:t>
            </w:r>
          </w:p>
          <w:p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56679C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  <w:r w:rsidR="00EA106A">
              <w:rPr>
                <w:rFonts w:asciiTheme="minorHAnsi" w:hAnsiTheme="minorHAnsi"/>
                <w:color w:val="auto"/>
              </w:rPr>
              <w:t>całkowitej</w:t>
            </w:r>
          </w:p>
          <w:p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trzeciego stopnia, jeśli są liczbami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wymiernymi</w:t>
            </w:r>
          </w:p>
        </w:tc>
        <w:tc>
          <w:tcPr>
            <w:tcW w:w="2370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EA106A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:rsidR="00810600" w:rsidRPr="009B498E" w:rsidRDefault="00A540E2" w:rsidP="00EA106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</w:tc>
        <w:tc>
          <w:tcPr>
            <w:tcW w:w="2409" w:type="dxa"/>
          </w:tcPr>
          <w:p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</w:p>
          <w:p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</w:tcPr>
          <w:p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BF649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odcinka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umieszczonego na kratce jednostkowej</w:t>
            </w:r>
          </w:p>
        </w:tc>
        <w:tc>
          <w:tcPr>
            <w:tcW w:w="2370" w:type="dxa"/>
          </w:tcPr>
          <w:p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 xml:space="preserve">ości trójkąta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Pitagorasa </w:t>
            </w:r>
          </w:p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3.5pt" o:ole="">
                  <v:imagedata r:id="rId8" o:title=""/>
                </v:shape>
                <o:OLEObject Type="Embed" ProgID="Equation.DSMT4" ShapeID="_x0000_i1025" DrawAspect="Content" ObjectID="_1663006977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26" type="#_x0000_t75" style="width:20.25pt;height:13.5pt" o:ole="">
                  <v:imagedata r:id="rId8" o:title=""/>
                </v:shape>
                <o:OLEObject Type="Embed" ProgID="Equation.DSMT4" ShapeID="_x0000_i1026" DrawAspect="Content" ObjectID="_1663006978" r:id="rId10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27" type="#_x0000_t75" style="width:20.25pt;height:13.5pt" o:ole="">
                  <v:imagedata r:id="rId11" o:title=""/>
                </v:shape>
                <o:OLEObject Type="Embed" ProgID="Equation.DSMT4" ShapeID="_x0000_i1027" DrawAspect="Content" ObjectID="_1663006979" r:id="rId12"/>
              </w:object>
            </w:r>
          </w:p>
        </w:tc>
        <w:tc>
          <w:tcPr>
            <w:tcW w:w="2370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28" type="#_x0000_t75" style="width:20.25pt;height:13.5pt" o:ole="">
                  <v:imagedata r:id="rId8" o:title=""/>
                </v:shape>
                <o:OLEObject Type="Embed" ProgID="Equation.DSMT4" ShapeID="_x0000_i1028" DrawAspect="Content" ObjectID="_1663006980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29" type="#_x0000_t75" style="width:20.25pt;height:13.5pt" o:ole="">
                  <v:imagedata r:id="rId8" o:title=""/>
                </v:shape>
                <o:OLEObject Type="Embed" ProgID="Equation.DSMT4" ShapeID="_x0000_i1029" DrawAspect="Content" ObjectID="_1663006981" r:id="rId14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0" type="#_x0000_t75" style="width:20.25pt;height:13.5pt" o:ole="">
                  <v:imagedata r:id="rId11" o:title=""/>
                </v:shape>
                <o:OLEObject Type="Embed" ProgID="Equation.DSMT4" ShapeID="_x0000_i1030" DrawAspect="Content" ObjectID="_1663006982" r:id="rId15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1" type="#_x0000_t75" style="width:20.25pt;height:13.5pt" o:ole="">
                  <v:imagedata r:id="rId8" o:title=""/>
                </v:shape>
                <o:OLEObject Type="Embed" ProgID="Equation.DSMT4" ShapeID="_x0000_i1031" DrawAspect="Content" ObjectID="_1663006983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2" type="#_x0000_t75" style="width:20.25pt;height:13.5pt" o:ole="">
                  <v:imagedata r:id="rId8" o:title=""/>
                </v:shape>
                <o:OLEObject Type="Embed" ProgID="Equation.DSMT4" ShapeID="_x0000_i1032" DrawAspect="Content" ObjectID="_1663006984" r:id="rId1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3" type="#_x0000_t75" style="width:20.25pt;height:13.5pt" o:ole="">
                  <v:imagedata r:id="rId11" o:title=""/>
                </v:shape>
                <o:OLEObject Type="Embed" ProgID="Equation.DSMT4" ShapeID="_x0000_i1033" DrawAspect="Content" ObjectID="_1663006985" r:id="rId18"/>
              </w:objec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4" type="#_x0000_t75" style="width:20.25pt;height:13.5pt" o:ole="">
                  <v:imagedata r:id="rId8" o:title=""/>
                </v:shape>
                <o:OLEObject Type="Embed" ProgID="Equation.DSMT4" ShapeID="_x0000_i1034" DrawAspect="Content" ObjectID="_1663006986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5" type="#_x0000_t75" style="width:20.25pt;height:13.5pt" o:ole="">
                  <v:imagedata r:id="rId8" o:title=""/>
                </v:shape>
                <o:OLEObject Type="Embed" ProgID="Equation.DSMT4" ShapeID="_x0000_i1035" DrawAspect="Content" ObjectID="_1663006987" r:id="rId2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6" type="#_x0000_t75" style="width:20.25pt;height:13.5pt" o:ole="">
                  <v:imagedata r:id="rId11" o:title=""/>
                </v:shape>
                <o:OLEObject Type="Embed" ProgID="Equation.DSMT4" ShapeID="_x0000_i1036" DrawAspect="Content" ObjectID="_1663006988" r:id="rId21"/>
              </w:objec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7" type="#_x0000_t75" style="width:20.25pt;height:13.5pt" o:ole="">
                  <v:imagedata r:id="rId22" o:title=""/>
                </v:shape>
                <o:OLEObject Type="Embed" ProgID="Equation.DSMT4" ShapeID="_x0000_i1037" DrawAspect="Content" ObjectID="_1663006989" r:id="rId23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8" type="#_x0000_t75" style="width:20.25pt;height:13.5pt" o:ole="">
                  <v:imagedata r:id="rId24" o:title=""/>
                </v:shape>
                <o:OLEObject Type="Embed" ProgID="Equation.DSMT4" ShapeID="_x0000_i1038" DrawAspect="Content" ObjectID="_1663006990" r:id="rId25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9" type="#_x0000_t75" style="width:20.25pt;height:13.5pt" o:ole="">
                  <v:imagedata r:id="rId11" o:title=""/>
                </v:shape>
                <o:OLEObject Type="Embed" ProgID="Equation.DSMT4" ShapeID="_x0000_i1039" DrawAspect="Content" ObjectID="_1663006991" r:id="rId26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równobocznego</w: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wysokości trójkąta równobocznego, gdy dana jest długość jego boku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trójkąta równobocznego, gdy dana jest długość jego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boku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0" type="#_x0000_t75" style="width:20.25pt;height:13.5pt" o:ole="">
                  <v:imagedata r:id="rId22" o:title=""/>
                </v:shape>
                <o:OLEObject Type="Embed" ProgID="Equation.DSMT4" ShapeID="_x0000_i1040" DrawAspect="Content" ObjectID="_1663006992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1" type="#_x0000_t75" style="width:20.25pt;height:13.5pt" o:ole="">
                  <v:imagedata r:id="rId24" o:title=""/>
                </v:shape>
                <o:OLEObject Type="Embed" ProgID="Equation.DSMT4" ShapeID="_x0000_i1041" DrawAspect="Content" ObjectID="_1663006993" r:id="rId2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2" type="#_x0000_t75" style="width:20.25pt;height:13.5pt" o:ole="">
                  <v:imagedata r:id="rId11" o:title=""/>
                </v:shape>
                <o:OLEObject Type="Embed" ProgID="Equation.DSMT4" ShapeID="_x0000_i1042" DrawAspect="Content" ObjectID="_1663006994" r:id="rId29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dana jest długość jego wysokości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trójkąta równobocznego, gdy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dane jest pole tego trójkąta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3" type="#_x0000_t75" style="width:20.25pt;height:13.5pt" o:ole="">
                  <v:imagedata r:id="rId22" o:title=""/>
                </v:shape>
                <o:OLEObject Type="Embed" ProgID="Equation.DSMT4" ShapeID="_x0000_i1043" DrawAspect="Content" ObjectID="_1663006995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4" type="#_x0000_t75" style="width:20.25pt;height:13.5pt" o:ole="">
                  <v:imagedata r:id="rId24" o:title=""/>
                </v:shape>
                <o:OLEObject Type="Embed" ProgID="Equation.DSMT4" ShapeID="_x0000_i1044" DrawAspect="Content" ObjectID="_1663006996" r:id="rId31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5" type="#_x0000_t75" style="width:20.25pt;height:13.5pt" o:ole="">
                  <v:imagedata r:id="rId11" o:title=""/>
                </v:shape>
                <o:OLEObject Type="Embed" ProgID="Equation.DSMT4" ShapeID="_x0000_i1045" DrawAspect="Content" ObjectID="_1663006997" r:id="rId32"/>
              </w:objec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6" type="#_x0000_t75" style="width:20.25pt;height:13.5pt" o:ole="">
                  <v:imagedata r:id="rId22" o:title=""/>
                </v:shape>
                <o:OLEObject Type="Embed" ProgID="Equation.DSMT4" ShapeID="_x0000_i1046" DrawAspect="Content" ObjectID="_1663006998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7" type="#_x0000_t75" style="width:20.25pt;height:13.5pt" o:ole="">
                  <v:imagedata r:id="rId24" o:title=""/>
                </v:shape>
                <o:OLEObject Type="Embed" ProgID="Equation.DSMT4" ShapeID="_x0000_i1047" DrawAspect="Content" ObjectID="_1663006999" r:id="rId34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8" type="#_x0000_t75" style="width:20.25pt;height:13.5pt" o:ole="">
                  <v:imagedata r:id="rId11" o:title=""/>
                </v:shape>
                <o:OLEObject Type="Embed" ProgID="Equation.DSMT4" ShapeID="_x0000_i1048" DrawAspect="Content" ObjectID="_1663007000" r:id="rId35"/>
              </w:objec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wyprowadza wzory na wysokość trójkąta równobocznego, pole trójkąta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równobocznego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lastRenderedPageBreak/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="00EA106A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graniastosłupa, gdy dana jest jego objętość</w:t>
            </w:r>
            <w:r w:rsidR="00EA106A">
              <w:rPr>
                <w:rFonts w:asciiTheme="minorHAnsi" w:hAnsiTheme="minorHAnsi"/>
                <w:color w:val="auto"/>
              </w:rPr>
              <w:t xml:space="preserve"> i pole podstawy</w:t>
            </w:r>
          </w:p>
        </w:tc>
        <w:tc>
          <w:tcPr>
            <w:tcW w:w="2370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lastRenderedPageBreak/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 xml:space="preserve">- wskazuje przekątne 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charakterystyczne kąty w graniastosłupach</w:t>
            </w:r>
          </w:p>
          <w:p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 xml:space="preserve">- oblicza długości 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odcinków zawartych w graniastosłupach</w:t>
            </w:r>
          </w:p>
        </w:tc>
        <w:tc>
          <w:tcPr>
            <w:tcW w:w="2409" w:type="dxa"/>
          </w:tcPr>
          <w:p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lastRenderedPageBreak/>
              <w:t xml:space="preserve">- rozwiązuje zadania </w:t>
            </w:r>
            <w:r w:rsidRPr="009B498E">
              <w:rPr>
                <w:sz w:val="24"/>
                <w:szCs w:val="24"/>
              </w:rPr>
              <w:lastRenderedPageBreak/>
              <w:t>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o podwyższonym stopniu trudności</w:t>
            </w:r>
          </w:p>
        </w:tc>
      </w:tr>
      <w:tr w:rsidR="00157ACB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:rsidTr="004A3BF9">
        <w:tc>
          <w:tcPr>
            <w:tcW w:w="2358" w:type="dxa"/>
          </w:tcPr>
          <w:p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>ści od liczby boków wielokąta w </w:t>
            </w:r>
            <w:r w:rsidRPr="009B498E">
              <w:rPr>
                <w:rFonts w:asciiTheme="minorHAnsi" w:hAnsiTheme="minorHAnsi"/>
                <w:color w:val="auto"/>
              </w:rPr>
              <w:t xml:space="preserve">podstawie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ostrosłupa</w:t>
            </w:r>
          </w:p>
          <w:p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:rsidTr="004A3BF9">
        <w:tc>
          <w:tcPr>
            <w:tcW w:w="2358" w:type="dxa"/>
          </w:tcPr>
          <w:p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9542B" w:rsidRPr="009B498E" w:rsidTr="004A3BF9">
        <w:tc>
          <w:tcPr>
            <w:tcW w:w="2358" w:type="dxa"/>
          </w:tcPr>
          <w:p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9542B" w:rsidRPr="009B498E" w:rsidTr="004A3BF9">
        <w:tc>
          <w:tcPr>
            <w:tcW w:w="2358" w:type="dxa"/>
          </w:tcPr>
          <w:p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oblicza długości odcinków zawartych 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</w:p>
          <w:p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 ostrosłupach</w:t>
            </w:r>
          </w:p>
        </w:tc>
        <w:tc>
          <w:tcPr>
            <w:tcW w:w="2243" w:type="dxa"/>
          </w:tcPr>
          <w:p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:rsidTr="004A3BF9">
        <w:tc>
          <w:tcPr>
            <w:tcW w:w="2358" w:type="dxa"/>
          </w:tcPr>
          <w:p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EA106A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EA106A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25901" w:rsidRPr="009B498E" w:rsidTr="004A3BF9">
        <w:tc>
          <w:tcPr>
            <w:tcW w:w="2358" w:type="dxa"/>
          </w:tcPr>
          <w:p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zlicza elementy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>ia losowe w danym doświadczeniu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losowe </w:t>
            </w:r>
          </w:p>
          <w:p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243" w:type="dxa"/>
          </w:tcPr>
          <w:p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833C8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</w:p>
        </w:tc>
        <w:tc>
          <w:tcPr>
            <w:tcW w:w="2370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</w:tcPr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50771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regułę mnożenia do zliczania par elementów mających daną własność w prostych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przypadkach</w:t>
            </w:r>
          </w:p>
        </w:tc>
        <w:tc>
          <w:tcPr>
            <w:tcW w:w="2370" w:type="dxa"/>
          </w:tcPr>
          <w:p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zliczania par elementów mających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daną własność</w:t>
            </w:r>
          </w:p>
        </w:tc>
        <w:tc>
          <w:tcPr>
            <w:tcW w:w="2409" w:type="dxa"/>
          </w:tcPr>
          <w:p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zliczania par elementów mających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5524E7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EA106A">
              <w:rPr>
                <w:rFonts w:asciiTheme="minorHAnsi" w:hAnsiTheme="minorHAnsi"/>
                <w:color w:val="auto"/>
              </w:rPr>
              <w:t xml:space="preserve"> </w:t>
            </w:r>
            <w:r w:rsidR="0018680D" w:rsidRPr="009B498E">
              <w:rPr>
                <w:rFonts w:asciiTheme="minorHAnsi" w:hAnsiTheme="minorHAnsi"/>
                <w:color w:val="auto"/>
              </w:rPr>
              <w:t>prostych przykładach</w:t>
            </w:r>
          </w:p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EA106A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</w:t>
            </w:r>
            <w:r w:rsidRPr="009B498E">
              <w:rPr>
                <w:sz w:val="24"/>
                <w:szCs w:val="24"/>
              </w:rPr>
              <w:lastRenderedPageBreak/>
              <w:t xml:space="preserve">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środkowosymetryczne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współrzędne wierzchołków czworokątów, które są środkowosymetryczne </w:t>
            </w:r>
          </w:p>
        </w:tc>
        <w:tc>
          <w:tcPr>
            <w:tcW w:w="2243" w:type="dxa"/>
          </w:tcPr>
          <w:p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Symetralna odcinka i dwusieczna kąta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konstruuje symetralną odcinka</w:t>
            </w:r>
          </w:p>
          <w:p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konstruuje dwusieczną kąta</w:t>
            </w:r>
          </w:p>
        </w:tc>
        <w:tc>
          <w:tcPr>
            <w:tcW w:w="2370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i stosuje własności symetralnej odcinka i dwusiecznej kąta w zadaniach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przeprowadza dowody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zastosowaniem własności symetralnej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odcinka i dwusiecznej kąta</w:t>
            </w:r>
          </w:p>
        </w:tc>
        <w:tc>
          <w:tcPr>
            <w:tcW w:w="2243" w:type="dxa"/>
          </w:tcPr>
          <w:p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EA106A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</w:tbl>
    <w:p w:rsidR="00657A05" w:rsidRPr="00851E66" w:rsidRDefault="00657A05" w:rsidP="00657A05"/>
    <w:sectPr w:rsidR="00657A05" w:rsidRPr="00851E66" w:rsidSect="00657A05">
      <w:headerReference w:type="default" r:id="rId36"/>
      <w:footerReference w:type="default" r:id="rId3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B30A7" w15:done="0"/>
  <w15:commentEx w15:paraId="48FC0377" w15:paraIdParent="15CB30A7" w15:done="0"/>
  <w15:commentEx w15:paraId="2F162C8B" w15:done="0"/>
  <w15:commentEx w15:paraId="00B79AFB" w15:paraIdParent="2F162C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C7" w:rsidRDefault="002F5CC7" w:rsidP="00235EEE">
      <w:pPr>
        <w:spacing w:after="0" w:line="240" w:lineRule="auto"/>
      </w:pPr>
      <w:r>
        <w:separator/>
      </w:r>
    </w:p>
  </w:endnote>
  <w:endnote w:type="continuationSeparator" w:id="1">
    <w:p w:rsidR="002F5CC7" w:rsidRDefault="002F5CC7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711523"/>
      <w:docPartObj>
        <w:docPartGallery w:val="Page Numbers (Bottom of Page)"/>
        <w:docPartUnique/>
      </w:docPartObj>
    </w:sdtPr>
    <w:sdtContent>
      <w:p w:rsidR="00BD0057" w:rsidRPr="006209F1" w:rsidRDefault="004E63A8" w:rsidP="00A87A61">
        <w:pPr>
          <w:pStyle w:val="Stopka"/>
          <w:tabs>
            <w:tab w:val="clear" w:pos="9072"/>
            <w:tab w:val="right" w:pos="9639"/>
          </w:tabs>
          <w:spacing w:before="120"/>
        </w:pPr>
        <w:r w:rsidRPr="004E63A8">
          <w:rPr>
            <w:b/>
            <w:noProof/>
            <w:color w:val="003892"/>
            <w:lang w:eastAsia="pl-PL"/>
          </w:rPr>
          <w:pict>
            <v:line id="Łącznik prostoliniowy 3" o:spid="_x0000_s4098" style="position:absolute;z-index:251666432;visibility:visible;mso-position-horizontal-relative:text;mso-position-vertical-relative:text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" strokecolor="#f09120" strokeweight="1.5pt">
              <v:stroke joinstyle="miter"/>
            </v:line>
          </w:pict>
        </w:r>
        <w:r w:rsidR="00A87A61">
          <w:tab/>
        </w:r>
        <w:r w:rsidR="00A87A61">
          <w:tab/>
        </w:r>
      </w:p>
      <w:p w:rsidR="00BD0057" w:rsidRDefault="004E63A8" w:rsidP="00235EEE">
        <w:pPr>
          <w:pStyle w:val="Stopka"/>
          <w:ind w:left="-567"/>
        </w:pPr>
        <w:r w:rsidRPr="004E63A8">
          <w:rPr>
            <w:b/>
            <w:noProof/>
            <w:color w:val="003892"/>
            <w:lang w:eastAsia="pl-PL"/>
          </w:rPr>
          <w:pict>
            <v:line id="Łącznik prostoliniowy 5" o:spid="_x0000_s4097" style="position:absolute;left:0;text-align:left;z-index:251659264;visibility:visible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TckXSd8AAAAKAQAADwAAAAAAAAAAAAAAAAA9BAAAZHJzL2Rvd25yZXYueG1s&#10;UEsFBgAAAAAEAAQA8wAAAEkFAAAAAA==&#10;" strokecolor="black [3213]" strokeweight=".5pt">
              <v:stroke joinstyle="miter"/>
            </v:line>
          </w:pict>
        </w:r>
      </w:p>
      <w:p w:rsidR="00BD0057" w:rsidRDefault="00BD0057" w:rsidP="00235EEE">
        <w:pPr>
          <w:pStyle w:val="Stopka"/>
          <w:ind w:left="-1417"/>
        </w:pPr>
        <w:r>
          <w:tab/>
        </w:r>
        <w:r>
          <w:tab/>
        </w:r>
        <w:r w:rsidR="00344712">
          <w:tab/>
        </w:r>
        <w:r>
          <w:tab/>
        </w:r>
        <w:r w:rsidR="00344712">
          <w:rPr>
            <w:noProof/>
            <w:lang w:eastAsia="pl-PL"/>
          </w:rPr>
          <w:drawing>
            <wp:inline distT="0" distB="0" distL="0" distR="0">
              <wp:extent cx="2585972" cy="263224"/>
              <wp:effectExtent l="0" t="0" r="508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ti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61592"/>
                      <a:stretch/>
                    </pic:blipFill>
                    <pic:spPr bwMode="auto">
                      <a:xfrm>
                        <a:off x="0" y="0"/>
                        <a:ext cx="2585972" cy="2632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D0057" w:rsidRDefault="004E63A8">
        <w:pPr>
          <w:pStyle w:val="Stopka"/>
          <w:jc w:val="center"/>
        </w:pPr>
        <w:r>
          <w:fldChar w:fldCharType="begin"/>
        </w:r>
        <w:r w:rsidR="00BD0057">
          <w:instrText>PAGE   \* MERGEFORMAT</w:instrText>
        </w:r>
        <w:r>
          <w:fldChar w:fldCharType="separate"/>
        </w:r>
        <w:r w:rsidR="004E421D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C7" w:rsidRDefault="002F5CC7" w:rsidP="00235EEE">
      <w:pPr>
        <w:spacing w:after="0" w:line="240" w:lineRule="auto"/>
      </w:pPr>
      <w:r>
        <w:separator/>
      </w:r>
    </w:p>
  </w:footnote>
  <w:footnote w:type="continuationSeparator" w:id="1">
    <w:p w:rsidR="002F5CC7" w:rsidRDefault="002F5CC7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57" w:rsidRDefault="00BD00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-493867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-1002030</wp:posOffset>
          </wp:positionH>
          <wp:positionV relativeFrom="paragraph">
            <wp:posOffset>-493395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09F1">
      <w:rPr>
        <w:b/>
        <w:color w:val="F09120"/>
      </w:rPr>
      <w:t>Matematyka</w:t>
    </w:r>
    <w:r w:rsidRPr="006209F1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209F1"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">
    <w15:presenceInfo w15:providerId="None" w15:userId="An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74A66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D1648"/>
    <w:rsid w:val="002D2749"/>
    <w:rsid w:val="002D4CC6"/>
    <w:rsid w:val="002E49EC"/>
    <w:rsid w:val="002E52B9"/>
    <w:rsid w:val="002F5CC7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E421D"/>
    <w:rsid w:val="004E63A8"/>
    <w:rsid w:val="004F6817"/>
    <w:rsid w:val="004F7E99"/>
    <w:rsid w:val="00507711"/>
    <w:rsid w:val="005133B7"/>
    <w:rsid w:val="00525298"/>
    <w:rsid w:val="005524E7"/>
    <w:rsid w:val="0056679C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87A61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106A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3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4.wmf"/><Relationship Id="rId32" Type="http://schemas.openxmlformats.org/officeDocument/2006/relationships/oleObject" Target="embeddings/oleObject21.bin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3.wmf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C72A-7709-4B90-A9CE-FACE91CD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Komputer D630</cp:lastModifiedBy>
  <cp:revision>4</cp:revision>
  <dcterms:created xsi:type="dcterms:W3CDTF">2020-09-30T19:21:00Z</dcterms:created>
  <dcterms:modified xsi:type="dcterms:W3CDTF">2020-09-30T19:35:00Z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